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2B1F" w14:textId="44ACFE9A" w:rsidR="003C7367" w:rsidRPr="00D542AE" w:rsidRDefault="003C7367">
      <w:pPr>
        <w:rPr>
          <w:b/>
          <w:bCs/>
          <w:sz w:val="28"/>
          <w:szCs w:val="28"/>
        </w:rPr>
      </w:pPr>
      <w:r w:rsidRPr="00D542AE">
        <w:rPr>
          <w:b/>
          <w:bCs/>
          <w:sz w:val="28"/>
          <w:szCs w:val="28"/>
        </w:rPr>
        <w:t>Ayr Burners Cycling</w:t>
      </w:r>
    </w:p>
    <w:p w14:paraId="4D98E1A4" w14:textId="7A48D7B6" w:rsidR="00CC28D7" w:rsidRPr="00D542AE" w:rsidRDefault="00BD33BC">
      <w:pPr>
        <w:rPr>
          <w:b/>
          <w:bCs/>
          <w:sz w:val="28"/>
          <w:szCs w:val="28"/>
        </w:rPr>
      </w:pPr>
      <w:r>
        <w:rPr>
          <w:b/>
          <w:bCs/>
          <w:sz w:val="28"/>
          <w:szCs w:val="28"/>
        </w:rPr>
        <w:t>Secure Data Handling</w:t>
      </w:r>
      <w:r w:rsidR="003C7367" w:rsidRPr="00D542AE">
        <w:rPr>
          <w:b/>
          <w:bCs/>
          <w:sz w:val="28"/>
          <w:szCs w:val="28"/>
        </w:rPr>
        <w:t xml:space="preserve"> Policy</w:t>
      </w:r>
    </w:p>
    <w:p w14:paraId="35A3A5BD" w14:textId="515AD1D1" w:rsidR="003C7367" w:rsidRDefault="00501158">
      <w:r>
        <w:rPr>
          <w:b/>
          <w:bCs/>
        </w:rPr>
        <w:t>Effective:</w:t>
      </w:r>
      <w:r>
        <w:t xml:space="preserve"> October 2025</w:t>
      </w:r>
      <w:r>
        <w:t> </w:t>
      </w:r>
      <w:r>
        <w:t>|</w:t>
      </w:r>
      <w:r>
        <w:t> </w:t>
      </w:r>
      <w:r>
        <w:rPr>
          <w:b/>
          <w:bCs/>
        </w:rPr>
        <w:t>Next Review:</w:t>
      </w:r>
      <w:r>
        <w:t xml:space="preserve"> October 2028</w:t>
      </w:r>
    </w:p>
    <w:p w14:paraId="2CC7BAF0" w14:textId="77777777" w:rsidR="003869EE" w:rsidRPr="003869EE" w:rsidRDefault="003869EE"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r w:rsidRPr="003869EE">
        <w:rPr>
          <w:rFonts w:ascii="Aptos" w:eastAsia="Times New Roman" w:hAnsi="Aptos" w:cs="Times New Roman"/>
          <w:color w:val="000000"/>
          <w:kern w:val="0"/>
          <w:sz w:val="22"/>
          <w:szCs w:val="22"/>
          <w:lang w:eastAsia="en-GB"/>
          <w14:ligatures w14:val="none"/>
        </w:rPr>
        <w:t>This policy explains how disclosures must be handled and ensure that all disclosure information is managed properly and in line with the Disclosure Scotland Code of Practice.</w:t>
      </w:r>
    </w:p>
    <w:p w14:paraId="055B60A2" w14:textId="77777777" w:rsidR="003869EE" w:rsidRPr="003869EE" w:rsidRDefault="003869EE"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r w:rsidRPr="003869EE">
        <w:rPr>
          <w:rFonts w:ascii="Aptos" w:eastAsia="Times New Roman" w:hAnsi="Aptos" w:cs="Times New Roman"/>
          <w:b/>
          <w:bCs/>
          <w:color w:val="000000"/>
          <w:kern w:val="0"/>
          <w:sz w:val="22"/>
          <w:szCs w:val="22"/>
          <w:lang w:eastAsia="en-GB"/>
          <w14:ligatures w14:val="none"/>
        </w:rPr>
        <w:t>Purpose</w:t>
      </w:r>
    </w:p>
    <w:p w14:paraId="1D96D95B" w14:textId="77777777" w:rsidR="003869EE" w:rsidRPr="003869EE" w:rsidRDefault="003869EE" w:rsidP="00AB093C">
      <w:pPr>
        <w:numPr>
          <w:ilvl w:val="0"/>
          <w:numId w:val="2"/>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To guide volunteers on handling disclosure information securely and appropriately.</w:t>
      </w:r>
    </w:p>
    <w:p w14:paraId="3F1D3BDE" w14:textId="77777777" w:rsidR="003869EE" w:rsidRPr="003869EE" w:rsidRDefault="003869EE"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r w:rsidRPr="003869EE">
        <w:rPr>
          <w:rFonts w:ascii="Aptos" w:eastAsia="Times New Roman" w:hAnsi="Aptos" w:cs="Times New Roman"/>
          <w:b/>
          <w:bCs/>
          <w:color w:val="000000"/>
          <w:kern w:val="0"/>
          <w:sz w:val="22"/>
          <w:szCs w:val="22"/>
          <w:lang w:eastAsia="en-GB"/>
          <w14:ligatures w14:val="none"/>
        </w:rPr>
        <w:t>Scope</w:t>
      </w:r>
    </w:p>
    <w:p w14:paraId="5F8E9C3F" w14:textId="77777777" w:rsidR="003869EE" w:rsidRPr="003869EE" w:rsidRDefault="003869EE" w:rsidP="00AB093C">
      <w:pPr>
        <w:numPr>
          <w:ilvl w:val="0"/>
          <w:numId w:val="3"/>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Applies to organisations accessing disclosures to assess suitability for paid or voluntary roles.</w:t>
      </w:r>
    </w:p>
    <w:p w14:paraId="7D0D0C9A" w14:textId="77777777" w:rsidR="003869EE" w:rsidRDefault="003869EE" w:rsidP="00AB093C">
      <w:pPr>
        <w:shd w:val="clear" w:color="auto" w:fill="FFFFFF"/>
        <w:spacing w:after="0" w:line="240" w:lineRule="auto"/>
        <w:jc w:val="both"/>
        <w:rPr>
          <w:rFonts w:ascii="Aptos" w:eastAsia="Times New Roman" w:hAnsi="Aptos" w:cs="Times New Roman"/>
          <w:b/>
          <w:bCs/>
          <w:color w:val="000000"/>
          <w:kern w:val="0"/>
          <w:sz w:val="22"/>
          <w:szCs w:val="22"/>
          <w:lang w:eastAsia="en-GB"/>
          <w14:ligatures w14:val="none"/>
        </w:rPr>
      </w:pPr>
      <w:r w:rsidRPr="003869EE">
        <w:rPr>
          <w:rFonts w:ascii="Aptos" w:eastAsia="Times New Roman" w:hAnsi="Aptos" w:cs="Times New Roman"/>
          <w:b/>
          <w:bCs/>
          <w:color w:val="000000"/>
          <w:kern w:val="0"/>
          <w:sz w:val="22"/>
          <w:szCs w:val="22"/>
          <w:lang w:eastAsia="en-GB"/>
          <w14:ligatures w14:val="none"/>
        </w:rPr>
        <w:t>Key Practices</w:t>
      </w:r>
    </w:p>
    <w:p w14:paraId="1D563650" w14:textId="77777777" w:rsidR="00893F35" w:rsidRPr="003869EE" w:rsidRDefault="00893F35"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p>
    <w:p w14:paraId="78A9697A" w14:textId="77777777" w:rsidR="003869EE" w:rsidRPr="003869EE" w:rsidRDefault="003869EE"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r w:rsidRPr="003869EE">
        <w:rPr>
          <w:rFonts w:ascii="Aptos" w:eastAsia="Times New Roman" w:hAnsi="Aptos" w:cs="Times New Roman"/>
          <w:b/>
          <w:bCs/>
          <w:color w:val="000000"/>
          <w:kern w:val="0"/>
          <w:sz w:val="22"/>
          <w:szCs w:val="22"/>
          <w:lang w:eastAsia="en-GB"/>
          <w14:ligatures w14:val="none"/>
        </w:rPr>
        <w:t>Requesting Disclosures</w:t>
      </w:r>
    </w:p>
    <w:p w14:paraId="16405F24" w14:textId="77777777" w:rsidR="003869EE" w:rsidRPr="003869EE" w:rsidRDefault="003869EE" w:rsidP="00AB093C">
      <w:pPr>
        <w:numPr>
          <w:ilvl w:val="0"/>
          <w:numId w:val="4"/>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Only request disclosures when necessary for a specific role.</w:t>
      </w:r>
    </w:p>
    <w:p w14:paraId="3E8E9842" w14:textId="77777777" w:rsidR="003869EE" w:rsidRPr="003869EE" w:rsidRDefault="003869EE" w:rsidP="00AB093C">
      <w:pPr>
        <w:numPr>
          <w:ilvl w:val="0"/>
          <w:numId w:val="4"/>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Use disclosure information solely for recruitment.</w:t>
      </w:r>
    </w:p>
    <w:p w14:paraId="7F73EDF2" w14:textId="77777777" w:rsidR="003869EE" w:rsidRPr="003869EE" w:rsidRDefault="003869EE" w:rsidP="00AB093C">
      <w:pPr>
        <w:numPr>
          <w:ilvl w:val="0"/>
          <w:numId w:val="4"/>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Obtain the individual’s consent before requesting.</w:t>
      </w:r>
    </w:p>
    <w:p w14:paraId="1D7C522E" w14:textId="77777777" w:rsidR="003869EE" w:rsidRPr="003869EE" w:rsidRDefault="003869EE" w:rsidP="00AB093C">
      <w:pPr>
        <w:numPr>
          <w:ilvl w:val="0"/>
          <w:numId w:val="4"/>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Handle all personal data confidentially.</w:t>
      </w:r>
    </w:p>
    <w:p w14:paraId="45696C87" w14:textId="77777777" w:rsidR="003869EE" w:rsidRPr="003869EE" w:rsidRDefault="003869EE"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r w:rsidRPr="003869EE">
        <w:rPr>
          <w:rFonts w:ascii="Aptos" w:eastAsia="Times New Roman" w:hAnsi="Aptos" w:cs="Times New Roman"/>
          <w:b/>
          <w:bCs/>
          <w:color w:val="000000"/>
          <w:kern w:val="0"/>
          <w:sz w:val="22"/>
          <w:szCs w:val="22"/>
          <w:lang w:eastAsia="en-GB"/>
          <w14:ligatures w14:val="none"/>
        </w:rPr>
        <w:t>Digital Certificates</w:t>
      </w:r>
    </w:p>
    <w:p w14:paraId="78754B42" w14:textId="77777777" w:rsidR="003869EE" w:rsidRPr="003869EE" w:rsidRDefault="003869EE" w:rsidP="00AB093C">
      <w:pPr>
        <w:numPr>
          <w:ilvl w:val="0"/>
          <w:numId w:val="5"/>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Prevent unauthorised access, sharing, or misuse of electronic disclosures.</w:t>
      </w:r>
    </w:p>
    <w:p w14:paraId="46D52979" w14:textId="77777777" w:rsidR="003869EE" w:rsidRPr="003869EE" w:rsidRDefault="003869EE" w:rsidP="00AB093C">
      <w:pPr>
        <w:numPr>
          <w:ilvl w:val="0"/>
          <w:numId w:val="5"/>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Limit access to those who need it for their role.</w:t>
      </w:r>
    </w:p>
    <w:p w14:paraId="7AA4E297" w14:textId="77777777" w:rsidR="003869EE" w:rsidRPr="003869EE" w:rsidRDefault="003869EE" w:rsidP="00AB093C">
      <w:pPr>
        <w:numPr>
          <w:ilvl w:val="0"/>
          <w:numId w:val="5"/>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Delete email certificates after checks are complete and store data securely.</w:t>
      </w:r>
    </w:p>
    <w:p w14:paraId="2295C0AE" w14:textId="77777777" w:rsidR="003869EE" w:rsidRPr="003869EE" w:rsidRDefault="003869EE" w:rsidP="00AB093C">
      <w:pPr>
        <w:numPr>
          <w:ilvl w:val="0"/>
          <w:numId w:val="5"/>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Do not keep copies or images of disclosure information.</w:t>
      </w:r>
    </w:p>
    <w:p w14:paraId="0DC26E9E" w14:textId="77777777" w:rsidR="003869EE" w:rsidRPr="003869EE" w:rsidRDefault="003869EE"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r w:rsidRPr="003869EE">
        <w:rPr>
          <w:rFonts w:ascii="Aptos" w:eastAsia="Times New Roman" w:hAnsi="Aptos" w:cs="Times New Roman"/>
          <w:b/>
          <w:bCs/>
          <w:color w:val="000000"/>
          <w:kern w:val="0"/>
          <w:sz w:val="22"/>
          <w:szCs w:val="22"/>
          <w:lang w:eastAsia="en-GB"/>
          <w14:ligatures w14:val="none"/>
        </w:rPr>
        <w:t>Sharing Information</w:t>
      </w:r>
    </w:p>
    <w:p w14:paraId="771A4E1B" w14:textId="77777777" w:rsidR="003869EE" w:rsidRPr="003869EE" w:rsidRDefault="003869EE" w:rsidP="00AB093C">
      <w:pPr>
        <w:numPr>
          <w:ilvl w:val="0"/>
          <w:numId w:val="7"/>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n-GB"/>
          <w14:ligatures w14:val="none"/>
        </w:rPr>
      </w:pPr>
      <w:r w:rsidRPr="003869EE">
        <w:rPr>
          <w:rFonts w:ascii="Aptos" w:eastAsia="Times New Roman" w:hAnsi="Aptos" w:cs="Arial"/>
          <w:color w:val="000000"/>
          <w:kern w:val="0"/>
          <w:sz w:val="22"/>
          <w:szCs w:val="22"/>
          <w:lang w:eastAsia="en-GB"/>
          <w14:ligatures w14:val="none"/>
        </w:rPr>
        <w:t>Only share disclosure details with those who are authorised and need it for their duties.</w:t>
      </w:r>
    </w:p>
    <w:p w14:paraId="003AC5CD" w14:textId="77777777" w:rsidR="00893F35" w:rsidRDefault="003869EE" w:rsidP="00AB093C">
      <w:pPr>
        <w:jc w:val="both"/>
        <w:rPr>
          <w:b/>
          <w:bCs/>
          <w:lang w:eastAsia="en-GB"/>
        </w:rPr>
      </w:pPr>
      <w:r w:rsidRPr="00893F35">
        <w:rPr>
          <w:b/>
          <w:bCs/>
          <w:lang w:eastAsia="en-GB"/>
        </w:rPr>
        <w:t>Retention</w:t>
      </w:r>
    </w:p>
    <w:p w14:paraId="4733502E" w14:textId="58D3BC7D" w:rsidR="003869EE" w:rsidRPr="00DD6966" w:rsidRDefault="00893F35" w:rsidP="00AB093C">
      <w:pPr>
        <w:pStyle w:val="NoSpacing"/>
        <w:jc w:val="both"/>
        <w:rPr>
          <w:rFonts w:ascii="Aptos" w:hAnsi="Aptos"/>
          <w:b/>
          <w:bCs/>
          <w:sz w:val="22"/>
          <w:szCs w:val="22"/>
          <w:lang w:eastAsia="en-GB"/>
        </w:rPr>
      </w:pPr>
      <w:r w:rsidRPr="00DD6966">
        <w:rPr>
          <w:rFonts w:ascii="Aptos" w:hAnsi="Aptos"/>
          <w:sz w:val="22"/>
          <w:szCs w:val="22"/>
          <w:lang w:eastAsia="en-GB"/>
        </w:rPr>
        <w:t>D</w:t>
      </w:r>
      <w:r w:rsidR="003869EE" w:rsidRPr="00DD6966">
        <w:rPr>
          <w:rFonts w:ascii="Aptos" w:hAnsi="Aptos"/>
          <w:sz w:val="22"/>
          <w:szCs w:val="22"/>
          <w:lang w:eastAsia="en-GB"/>
        </w:rPr>
        <w:t xml:space="preserve">isclosures </w:t>
      </w:r>
      <w:r w:rsidR="00DD6966" w:rsidRPr="00DD6966">
        <w:rPr>
          <w:rFonts w:ascii="Aptos" w:hAnsi="Aptos"/>
          <w:sz w:val="22"/>
          <w:szCs w:val="22"/>
          <w:lang w:eastAsia="en-GB"/>
        </w:rPr>
        <w:t xml:space="preserve">will be retained </w:t>
      </w:r>
      <w:r w:rsidR="003869EE" w:rsidRPr="00DD6966">
        <w:rPr>
          <w:rFonts w:ascii="Aptos" w:hAnsi="Aptos"/>
          <w:sz w:val="22"/>
          <w:szCs w:val="22"/>
          <w:lang w:eastAsia="en-GB"/>
        </w:rPr>
        <w:t>for</w:t>
      </w:r>
      <w:r w:rsidR="00DD6966" w:rsidRPr="00DD6966">
        <w:rPr>
          <w:rFonts w:ascii="Aptos" w:hAnsi="Aptos"/>
          <w:sz w:val="22"/>
          <w:szCs w:val="22"/>
          <w:lang w:eastAsia="en-GB"/>
        </w:rPr>
        <w:t xml:space="preserve"> no</w:t>
      </w:r>
      <w:r w:rsidR="003869EE" w:rsidRPr="00DD6966">
        <w:rPr>
          <w:rFonts w:ascii="Aptos" w:hAnsi="Aptos"/>
          <w:sz w:val="22"/>
          <w:szCs w:val="22"/>
          <w:lang w:eastAsia="en-GB"/>
        </w:rPr>
        <w:t xml:space="preserve"> longer than is necessary for the purpose for which the disclosure record was obtained. PVG disclosures will be destroyed securely on receipt of an updated PVG disclosure and they will not be retained beyond the last day that a scheme member is carrying out regulated work for our organisation. </w:t>
      </w:r>
    </w:p>
    <w:p w14:paraId="1697BD9E" w14:textId="77777777" w:rsidR="003869EE" w:rsidRPr="003869EE" w:rsidRDefault="003869EE"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p>
    <w:p w14:paraId="0B7C8560" w14:textId="77777777" w:rsidR="00893F35" w:rsidRDefault="003869EE" w:rsidP="00AB093C">
      <w:pPr>
        <w:shd w:val="clear" w:color="auto" w:fill="FFFFFF"/>
        <w:spacing w:after="0" w:line="240" w:lineRule="auto"/>
        <w:jc w:val="both"/>
        <w:rPr>
          <w:rFonts w:ascii="Aptos" w:eastAsia="Times New Roman" w:hAnsi="Aptos" w:cs="Times New Roman"/>
          <w:b/>
          <w:bCs/>
          <w:color w:val="000000"/>
          <w:kern w:val="0"/>
          <w:sz w:val="22"/>
          <w:szCs w:val="22"/>
          <w:lang w:eastAsia="en-GB"/>
          <w14:ligatures w14:val="none"/>
        </w:rPr>
      </w:pPr>
      <w:r w:rsidRPr="003869EE">
        <w:rPr>
          <w:rFonts w:ascii="Aptos" w:eastAsia="Times New Roman" w:hAnsi="Aptos" w:cs="Times New Roman"/>
          <w:b/>
          <w:bCs/>
          <w:color w:val="000000"/>
          <w:kern w:val="0"/>
          <w:sz w:val="22"/>
          <w:szCs w:val="22"/>
          <w:lang w:eastAsia="en-GB"/>
          <w14:ligatures w14:val="none"/>
        </w:rPr>
        <w:t>Destruction/Deletion</w:t>
      </w:r>
    </w:p>
    <w:p w14:paraId="549E45DA" w14:textId="77777777" w:rsidR="00DD6966" w:rsidRPr="00893F35" w:rsidRDefault="00DD6966" w:rsidP="00AB093C">
      <w:pPr>
        <w:shd w:val="clear" w:color="auto" w:fill="FFFFFF"/>
        <w:spacing w:after="0" w:line="240" w:lineRule="auto"/>
        <w:jc w:val="both"/>
        <w:rPr>
          <w:rFonts w:ascii="Aptos" w:eastAsia="Times New Roman" w:hAnsi="Aptos" w:cs="Times New Roman"/>
          <w:b/>
          <w:bCs/>
          <w:color w:val="000000"/>
          <w:kern w:val="0"/>
          <w:sz w:val="22"/>
          <w:szCs w:val="22"/>
          <w:lang w:eastAsia="en-GB"/>
          <w14:ligatures w14:val="none"/>
        </w:rPr>
      </w:pPr>
    </w:p>
    <w:p w14:paraId="5652261F" w14:textId="5350D0BC" w:rsidR="003869EE" w:rsidRPr="003869EE" w:rsidRDefault="00DD6966" w:rsidP="00AB093C">
      <w:pPr>
        <w:shd w:val="clear" w:color="auto" w:fill="FFFFFF"/>
        <w:spacing w:after="0" w:line="240" w:lineRule="auto"/>
        <w:jc w:val="both"/>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Ayr Burners</w:t>
      </w:r>
      <w:r w:rsidR="003869EE" w:rsidRPr="003869EE">
        <w:rPr>
          <w:rFonts w:ascii="Aptos" w:eastAsia="Times New Roman" w:hAnsi="Aptos" w:cs="Times New Roman"/>
          <w:color w:val="000000"/>
          <w:kern w:val="0"/>
          <w:sz w:val="22"/>
          <w:szCs w:val="22"/>
          <w:lang w:eastAsia="en-GB"/>
          <w14:ligatures w14:val="none"/>
        </w:rPr>
        <w:t xml:space="preserve"> Cycling will take reasonable steps to ensure that disclosure information is destroyed by suitable and secure means, for example, shredding, pulping or burning. Electronic images from digital certificates will also be deleted permanently from both the email address where it was received and from where it is stored. </w:t>
      </w:r>
    </w:p>
    <w:p w14:paraId="38CCF515" w14:textId="6C2FD0BE" w:rsidR="00CC28D7" w:rsidRDefault="00CC28D7" w:rsidP="00840399"/>
    <w:sectPr w:rsidR="00CC2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C62"/>
    <w:multiLevelType w:val="multilevel"/>
    <w:tmpl w:val="6758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91C04"/>
    <w:multiLevelType w:val="multilevel"/>
    <w:tmpl w:val="DC78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C2062"/>
    <w:multiLevelType w:val="multilevel"/>
    <w:tmpl w:val="EDD2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35E48"/>
    <w:multiLevelType w:val="multilevel"/>
    <w:tmpl w:val="5786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C04C8"/>
    <w:multiLevelType w:val="multilevel"/>
    <w:tmpl w:val="555E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A0EC4"/>
    <w:multiLevelType w:val="hybridMultilevel"/>
    <w:tmpl w:val="413E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391069"/>
    <w:multiLevelType w:val="multilevel"/>
    <w:tmpl w:val="945E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303644">
    <w:abstractNumId w:val="5"/>
  </w:num>
  <w:num w:numId="2" w16cid:durableId="1142846615">
    <w:abstractNumId w:val="4"/>
  </w:num>
  <w:num w:numId="3" w16cid:durableId="1066538284">
    <w:abstractNumId w:val="1"/>
  </w:num>
  <w:num w:numId="4" w16cid:durableId="130245102">
    <w:abstractNumId w:val="6"/>
  </w:num>
  <w:num w:numId="5" w16cid:durableId="1012073465">
    <w:abstractNumId w:val="2"/>
  </w:num>
  <w:num w:numId="6" w16cid:durableId="337856437">
    <w:abstractNumId w:val="0"/>
  </w:num>
  <w:num w:numId="7" w16cid:durableId="552274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D7"/>
    <w:rsid w:val="00004DF4"/>
    <w:rsid w:val="00122D44"/>
    <w:rsid w:val="0013631B"/>
    <w:rsid w:val="002E7A07"/>
    <w:rsid w:val="00341603"/>
    <w:rsid w:val="003869EE"/>
    <w:rsid w:val="003C5E80"/>
    <w:rsid w:val="003C7367"/>
    <w:rsid w:val="00494AAA"/>
    <w:rsid w:val="00501158"/>
    <w:rsid w:val="005173BB"/>
    <w:rsid w:val="005B26BB"/>
    <w:rsid w:val="005C7864"/>
    <w:rsid w:val="006D3AF8"/>
    <w:rsid w:val="00715AF2"/>
    <w:rsid w:val="007240FD"/>
    <w:rsid w:val="007A56A9"/>
    <w:rsid w:val="007D6D5C"/>
    <w:rsid w:val="00840399"/>
    <w:rsid w:val="00893F35"/>
    <w:rsid w:val="00AB093C"/>
    <w:rsid w:val="00BD33BC"/>
    <w:rsid w:val="00CC28D7"/>
    <w:rsid w:val="00D542AE"/>
    <w:rsid w:val="00DC10E9"/>
    <w:rsid w:val="00DD6966"/>
    <w:rsid w:val="00E858BC"/>
    <w:rsid w:val="00ED38CD"/>
    <w:rsid w:val="00F02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E666"/>
  <w15:chartTrackingRefBased/>
  <w15:docId w15:val="{C738F7DD-E895-4170-A858-08317722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2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2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2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D7"/>
    <w:rPr>
      <w:rFonts w:eastAsiaTheme="majorEastAsia" w:cstheme="majorBidi"/>
      <w:color w:val="272727" w:themeColor="text1" w:themeTint="D8"/>
    </w:rPr>
  </w:style>
  <w:style w:type="paragraph" w:styleId="Title">
    <w:name w:val="Title"/>
    <w:basedOn w:val="Normal"/>
    <w:next w:val="Normal"/>
    <w:link w:val="TitleChar"/>
    <w:uiPriority w:val="10"/>
    <w:qFormat/>
    <w:rsid w:val="00CC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D7"/>
    <w:pPr>
      <w:spacing w:before="160"/>
      <w:jc w:val="center"/>
    </w:pPr>
    <w:rPr>
      <w:i/>
      <w:iCs/>
      <w:color w:val="404040" w:themeColor="text1" w:themeTint="BF"/>
    </w:rPr>
  </w:style>
  <w:style w:type="character" w:customStyle="1" w:styleId="QuoteChar">
    <w:name w:val="Quote Char"/>
    <w:basedOn w:val="DefaultParagraphFont"/>
    <w:link w:val="Quote"/>
    <w:uiPriority w:val="29"/>
    <w:rsid w:val="00CC28D7"/>
    <w:rPr>
      <w:i/>
      <w:iCs/>
      <w:color w:val="404040" w:themeColor="text1" w:themeTint="BF"/>
    </w:rPr>
  </w:style>
  <w:style w:type="paragraph" w:styleId="ListParagraph">
    <w:name w:val="List Paragraph"/>
    <w:basedOn w:val="Normal"/>
    <w:uiPriority w:val="34"/>
    <w:qFormat/>
    <w:rsid w:val="00CC28D7"/>
    <w:pPr>
      <w:ind w:left="720"/>
      <w:contextualSpacing/>
    </w:pPr>
  </w:style>
  <w:style w:type="character" w:styleId="IntenseEmphasis">
    <w:name w:val="Intense Emphasis"/>
    <w:basedOn w:val="DefaultParagraphFont"/>
    <w:uiPriority w:val="21"/>
    <w:qFormat/>
    <w:rsid w:val="00CC28D7"/>
    <w:rPr>
      <w:i/>
      <w:iCs/>
      <w:color w:val="0F4761" w:themeColor="accent1" w:themeShade="BF"/>
    </w:rPr>
  </w:style>
  <w:style w:type="paragraph" w:styleId="IntenseQuote">
    <w:name w:val="Intense Quote"/>
    <w:basedOn w:val="Normal"/>
    <w:next w:val="Normal"/>
    <w:link w:val="IntenseQuoteChar"/>
    <w:uiPriority w:val="30"/>
    <w:qFormat/>
    <w:rsid w:val="00CC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8D7"/>
    <w:rPr>
      <w:i/>
      <w:iCs/>
      <w:color w:val="0F4761" w:themeColor="accent1" w:themeShade="BF"/>
    </w:rPr>
  </w:style>
  <w:style w:type="character" w:styleId="IntenseReference">
    <w:name w:val="Intense Reference"/>
    <w:basedOn w:val="DefaultParagraphFont"/>
    <w:uiPriority w:val="32"/>
    <w:qFormat/>
    <w:rsid w:val="00CC28D7"/>
    <w:rPr>
      <w:b/>
      <w:bCs/>
      <w:smallCaps/>
      <w:color w:val="0F4761" w:themeColor="accent1" w:themeShade="BF"/>
      <w:spacing w:val="5"/>
    </w:rPr>
  </w:style>
  <w:style w:type="character" w:styleId="Strong">
    <w:name w:val="Strong"/>
    <w:basedOn w:val="DefaultParagraphFont"/>
    <w:uiPriority w:val="22"/>
    <w:qFormat/>
    <w:rsid w:val="00D542AE"/>
    <w:rPr>
      <w:b/>
      <w:bCs/>
    </w:rPr>
  </w:style>
  <w:style w:type="paragraph" w:styleId="NoSpacing">
    <w:name w:val="No Spacing"/>
    <w:uiPriority w:val="1"/>
    <w:qFormat/>
    <w:rsid w:val="00893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Hilbourne</dc:creator>
  <cp:keywords/>
  <dc:description/>
  <cp:lastModifiedBy>Stephen Hilbourne</cp:lastModifiedBy>
  <cp:revision>15</cp:revision>
  <dcterms:created xsi:type="dcterms:W3CDTF">2025-06-18T20:36:00Z</dcterms:created>
  <dcterms:modified xsi:type="dcterms:W3CDTF">2025-11-17T16:20:00Z</dcterms:modified>
</cp:coreProperties>
</file>